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28"/>
          <w:szCs w:val="28"/>
        </w:rPr>
      </w:pPr>
      <w:bookmarkStart w:id="0" w:name="OLE_LINK1"/>
      <w:bookmarkStart w:id="1" w:name="OLE_LINK2"/>
      <w:r>
        <w:rPr>
          <w:rFonts w:hint="eastAsia" w:ascii="黑体" w:hAnsi="黑体" w:eastAsia="黑体"/>
          <w:sz w:val="28"/>
          <w:szCs w:val="28"/>
        </w:rPr>
        <w:t>临床试验方案的内容要素</w:t>
      </w:r>
    </w:p>
    <w:p>
      <w:pPr>
        <w:jc w:val="center"/>
        <w:rPr>
          <w:rFonts w:ascii="黑体" w:hAnsi="黑体" w:eastAsia="黑体"/>
          <w:sz w:val="16"/>
          <w:szCs w:val="16"/>
        </w:rPr>
      </w:pPr>
    </w:p>
    <w:bookmarkEnd w:id="0"/>
    <w:bookmarkEnd w:id="1"/>
    <w:p>
      <w:pPr>
        <w:spacing w:line="276" w:lineRule="auto"/>
      </w:pPr>
      <w:r>
        <w:rPr>
          <w:rFonts w:hint="eastAsia"/>
        </w:rPr>
        <w:t>1. 临床试验的题目和立题理由；</w:t>
      </w:r>
    </w:p>
    <w:p>
      <w:pPr>
        <w:spacing w:line="276" w:lineRule="auto"/>
      </w:pPr>
      <w:r>
        <w:rPr>
          <w:rFonts w:hint="eastAsia"/>
        </w:rPr>
        <w:t>2. 试验目的和目标；</w:t>
      </w:r>
    </w:p>
    <w:p>
      <w:pPr>
        <w:spacing w:line="276" w:lineRule="auto"/>
        <w:ind w:left="315" w:hanging="315" w:hangingChars="150"/>
      </w:pPr>
      <w:r>
        <w:rPr>
          <w:rFonts w:hint="eastAsia"/>
        </w:rPr>
        <w:t>3. 试验的背景、包括试验药物的名称、非临床研究中有临床意义的发现和与该试验有关的临床试验的发现、已知对人体的可能危险和受益；</w:t>
      </w:r>
    </w:p>
    <w:p>
      <w:pPr>
        <w:spacing w:line="276" w:lineRule="auto"/>
      </w:pPr>
      <w:r>
        <w:rPr>
          <w:rFonts w:hint="eastAsia"/>
        </w:rPr>
        <w:t>4. 进行试验的场所，申办者的姓名和地址，试验研究者的姓名、资格和地址；</w:t>
      </w:r>
    </w:p>
    <w:p>
      <w:pPr>
        <w:spacing w:line="276" w:lineRule="auto"/>
        <w:ind w:left="315" w:hanging="315" w:hangingChars="150"/>
      </w:pPr>
      <w:r>
        <w:rPr>
          <w:rFonts w:hint="eastAsia"/>
        </w:rPr>
        <w:t>5. 试验设计，例如为对照或开放、平行或交叉、双盲或单盲、随机化的方法和步骤、单中心或多中心等；</w:t>
      </w:r>
    </w:p>
    <w:p>
      <w:pPr>
        <w:spacing w:line="276" w:lineRule="auto"/>
      </w:pPr>
      <w:r>
        <w:rPr>
          <w:rFonts w:hint="eastAsia"/>
        </w:rPr>
        <w:t>6. 受试验的入选标准、排除标准、选择步骤、分配方法、退出标准；</w:t>
      </w:r>
    </w:p>
    <w:p>
      <w:pPr>
        <w:spacing w:line="276" w:lineRule="auto"/>
      </w:pPr>
      <w:r>
        <w:rPr>
          <w:rFonts w:hint="eastAsia"/>
        </w:rPr>
        <w:t>7. 根据统计学原理计算出的得到预期目的所需的病例数；</w:t>
      </w:r>
    </w:p>
    <w:p>
      <w:pPr>
        <w:spacing w:line="276" w:lineRule="auto"/>
        <w:ind w:left="315" w:hanging="315" w:hangingChars="150"/>
      </w:pPr>
      <w:r>
        <w:rPr>
          <w:rFonts w:hint="eastAsia"/>
        </w:rPr>
        <w:t>8. 根据药效学与药代动力学研究的结果及量效关系制订的试验药物和对照药的给药途径、剂量、给药次数、疗程和有关合并用药的规定；</w:t>
      </w:r>
    </w:p>
    <w:p>
      <w:pPr>
        <w:spacing w:line="276" w:lineRule="auto"/>
      </w:pPr>
      <w:r>
        <w:rPr>
          <w:rFonts w:hint="eastAsia"/>
        </w:rPr>
        <w:t>9. 拟进行的临床和实验室检查项目和测定的次数，药代动力学分析等；</w:t>
      </w:r>
    </w:p>
    <w:p>
      <w:pPr>
        <w:spacing w:line="276" w:lineRule="auto"/>
      </w:pPr>
      <w:r>
        <w:rPr>
          <w:rFonts w:hint="eastAsia"/>
        </w:rPr>
        <w:t>10. 试验用药（包括试验药物、对照药物和安慰剂，下同）的登记及记录制度；</w:t>
      </w:r>
    </w:p>
    <w:p>
      <w:pPr>
        <w:spacing w:line="276" w:lineRule="auto"/>
      </w:pPr>
      <w:r>
        <w:rPr>
          <w:rFonts w:hint="eastAsia"/>
        </w:rPr>
        <w:t>11. 临床观测、随访步骤和保证受试者依从性的措施；</w:t>
      </w:r>
    </w:p>
    <w:p>
      <w:pPr>
        <w:spacing w:line="276" w:lineRule="auto"/>
      </w:pPr>
      <w:r>
        <w:rPr>
          <w:rFonts w:hint="eastAsia"/>
        </w:rPr>
        <w:t>12. 终止和停止临床试验的标准，结束临床试验的规定；</w:t>
      </w:r>
    </w:p>
    <w:p>
      <w:pPr>
        <w:spacing w:line="276" w:lineRule="auto"/>
      </w:pPr>
      <w:r>
        <w:rPr>
          <w:rFonts w:hint="eastAsia"/>
        </w:rPr>
        <w:t>13. 规定的疗效评定标准，包括评定参数的方法，观测时间、记录与分析；</w:t>
      </w:r>
    </w:p>
    <w:p>
      <w:pPr>
        <w:spacing w:line="276" w:lineRule="auto"/>
      </w:pPr>
      <w:r>
        <w:rPr>
          <w:rFonts w:hint="eastAsia"/>
        </w:rPr>
        <w:t>14. 受试者的编码、病例报告表，随机数字表及病例报告表的保存手段；</w:t>
      </w:r>
    </w:p>
    <w:p>
      <w:pPr>
        <w:spacing w:line="276" w:lineRule="auto"/>
      </w:pPr>
      <w:r>
        <w:rPr>
          <w:rFonts w:hint="eastAsia"/>
        </w:rPr>
        <w:t>15. 不良事件的评定记录和报告方法，处理并发症的措施以及事后随访的方式和时间；</w:t>
      </w:r>
    </w:p>
    <w:p>
      <w:pPr>
        <w:spacing w:line="276" w:lineRule="auto"/>
      </w:pPr>
      <w:r>
        <w:rPr>
          <w:rFonts w:hint="eastAsia"/>
        </w:rPr>
        <w:t>16. 试验密码的建立和保存，发生紧急情况时由何人破盲方法的规定；</w:t>
      </w:r>
    </w:p>
    <w:p>
      <w:pPr>
        <w:spacing w:line="276" w:lineRule="auto"/>
      </w:pPr>
      <w:r>
        <w:rPr>
          <w:rFonts w:hint="eastAsia"/>
        </w:rPr>
        <w:t>17. 评价试验结果采用的方法，必要时从总结报告中剔出病例的依据；</w:t>
      </w:r>
    </w:p>
    <w:p>
      <w:pPr>
        <w:spacing w:line="276" w:lineRule="auto"/>
      </w:pPr>
      <w:r>
        <w:rPr>
          <w:rFonts w:hint="eastAsia"/>
        </w:rPr>
        <w:t>18. 数据处理与资料保存的规定；</w:t>
      </w:r>
    </w:p>
    <w:p>
      <w:pPr>
        <w:spacing w:line="276" w:lineRule="auto"/>
      </w:pPr>
      <w:r>
        <w:rPr>
          <w:rFonts w:hint="eastAsia"/>
        </w:rPr>
        <w:t>19. 临床试验的质量控制与质量保证；</w:t>
      </w:r>
    </w:p>
    <w:p>
      <w:pPr>
        <w:spacing w:line="276" w:lineRule="auto"/>
      </w:pPr>
      <w:r>
        <w:rPr>
          <w:rFonts w:hint="eastAsia"/>
        </w:rPr>
        <w:t>20. 临床试验预期的进度和完成日期；</w:t>
      </w:r>
    </w:p>
    <w:p>
      <w:pPr>
        <w:spacing w:line="276" w:lineRule="auto"/>
      </w:pPr>
      <w:r>
        <w:rPr>
          <w:rFonts w:hint="eastAsia"/>
        </w:rPr>
        <w:t>21. 试验结束后受试者将获得的医疗照顾措施；</w:t>
      </w:r>
    </w:p>
    <w:p>
      <w:pPr>
        <w:spacing w:line="276" w:lineRule="auto"/>
      </w:pPr>
      <w:r>
        <w:rPr>
          <w:rFonts w:hint="eastAsia"/>
        </w:rPr>
        <w:t>22. 申办者和研究者按照合同各方承担的职责和论文发表的协议；</w:t>
      </w:r>
    </w:p>
    <w:p>
      <w:pPr>
        <w:spacing w:line="276" w:lineRule="auto"/>
      </w:pPr>
      <w:r>
        <w:rPr>
          <w:rFonts w:hint="eastAsia"/>
        </w:rPr>
        <w:t>23. 参考文献。</w:t>
      </w:r>
    </w:p>
    <w:p>
      <w:pPr>
        <w:spacing w:line="276" w:lineRule="auto"/>
        <w:ind w:left="315" w:hanging="315" w:hangingChars="150"/>
      </w:pPr>
      <w:r>
        <w:rPr>
          <w:rFonts w:hint="eastAsia"/>
        </w:rPr>
        <w:t>24. 此外，还应包括试验管理协议部分，如试验方案的修订程序、监查员的责任、稽查程序、伦理委员会、保密及泄密事项、研究者总结报告格式与要求以及签名页内容。</w:t>
      </w:r>
    </w:p>
    <w:p>
      <w:pPr>
        <w:spacing w:line="276" w:lineRule="auto"/>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24695"/>
      <w:docPartObj>
        <w:docPartGallery w:val="AutoText"/>
      </w:docPartObj>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rPr>
        <w:rFonts w:hint="default" w:eastAsia="黑体"/>
        <w:lang w:val="en-US" w:eastAsia="zh-CN"/>
      </w:rPr>
    </w:pPr>
    <w:r>
      <w:rPr>
        <w:rFonts w:hint="eastAsia"/>
        <w:kern w:val="0"/>
      </w:rPr>
      <w:t>甘肃省妇幼保健院</w:t>
    </w:r>
    <w:r>
      <w:rPr>
        <w:kern w:val="0"/>
      </w:rPr>
      <w:t>(</w:t>
    </w:r>
    <w:r>
      <w:rPr>
        <w:rFonts w:hint="eastAsia"/>
        <w:kern w:val="0"/>
      </w:rPr>
      <w:t>甘肃省中心医院</w:t>
    </w:r>
    <w:r>
      <w:rPr>
        <w:kern w:val="0"/>
      </w:rPr>
      <w:t>)</w:t>
    </w:r>
    <w:r>
      <w:rPr>
        <w:rFonts w:hint="eastAsia"/>
        <w:kern w:val="0"/>
      </w:rPr>
      <w:t>药物</w:t>
    </w:r>
    <w:r>
      <w:rPr>
        <w:kern w:val="0"/>
      </w:rPr>
      <w:t>/</w:t>
    </w:r>
    <w:r>
      <w:rPr>
        <w:rFonts w:hint="eastAsia"/>
        <w:kern w:val="0"/>
      </w:rPr>
      <w:t>器械临床试验伦理委员会</w:t>
    </w:r>
    <w:r>
      <w:rPr>
        <w:kern w:val="0"/>
      </w:rPr>
      <w:t xml:space="preserve"> </w:t>
    </w:r>
    <w:r>
      <w:t xml:space="preserve">       </w:t>
    </w:r>
    <w:r>
      <w:rPr>
        <w:rFonts w:hint="eastAsia"/>
      </w:rPr>
      <w:t xml:space="preserve">             </w:t>
    </w:r>
    <w:r>
      <w:rPr>
        <w:rFonts w:hint="eastAsia" w:ascii="黑体" w:hAnsi="黑体" w:eastAsia="黑体"/>
        <w:szCs w:val="21"/>
      </w:rPr>
      <w:t>AF/FJ-02/0</w:t>
    </w:r>
    <w:r>
      <w:rPr>
        <w:rFonts w:hint="eastAsia" w:ascii="黑体" w:hAnsi="黑体" w:eastAsia="黑体"/>
        <w:szCs w:val="21"/>
        <w:lang w:val="en-US" w:eastAsia="zh-CN"/>
      </w:rPr>
      <w:t>2.2</w:t>
    </w:r>
    <w:bookmarkStart w:id="2" w:name="_GoBack"/>
    <w:bookmarkEnd w:id="2"/>
  </w:p>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A80DB4"/>
    <w:rsid w:val="000C78DD"/>
    <w:rsid w:val="00196B3D"/>
    <w:rsid w:val="00452DB6"/>
    <w:rsid w:val="004C4940"/>
    <w:rsid w:val="004E3078"/>
    <w:rsid w:val="00500D23"/>
    <w:rsid w:val="00593C46"/>
    <w:rsid w:val="005E5CED"/>
    <w:rsid w:val="006844AB"/>
    <w:rsid w:val="006D65E4"/>
    <w:rsid w:val="007E17EC"/>
    <w:rsid w:val="00942CB2"/>
    <w:rsid w:val="00A10006"/>
    <w:rsid w:val="00A80DB4"/>
    <w:rsid w:val="00B1026C"/>
    <w:rsid w:val="00B14824"/>
    <w:rsid w:val="00C31D56"/>
    <w:rsid w:val="00CB6E40"/>
    <w:rsid w:val="00CD4B4B"/>
    <w:rsid w:val="00CD66F7"/>
    <w:rsid w:val="00D24D0B"/>
    <w:rsid w:val="00D277D8"/>
    <w:rsid w:val="00DB3E59"/>
    <w:rsid w:val="00E5489A"/>
    <w:rsid w:val="088A5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uiPriority w:val="99"/>
    <w:rPr>
      <w:rFonts w:ascii="Times New Roman" w:hAnsi="Times New Roman" w:eastAsia="宋体" w:cs="Times New Roman"/>
      <w:sz w:val="18"/>
      <w:szCs w:val="18"/>
    </w:rPr>
  </w:style>
  <w:style w:type="character" w:customStyle="1" w:styleId="10">
    <w:name w:val="页眉 字符"/>
    <w:qFormat/>
    <w:uiPriority w:val="99"/>
    <w:rPr>
      <w:kern w:val="2"/>
      <w:sz w:val="18"/>
      <w:szCs w:val="18"/>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123</Words>
  <Characters>703</Characters>
  <Lines>5</Lines>
  <Paragraphs>1</Paragraphs>
  <TotalTime>41</TotalTime>
  <ScaleCrop>false</ScaleCrop>
  <LinksUpToDate>false</LinksUpToDate>
  <CharactersWithSpaces>825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2016-11-30T02:58:00Z</dcterms:created>
  <dc:creator>微软用户</dc:creator>
  <cp:lastModifiedBy>王者之剑</cp:lastModifiedBy>
  <dcterms:modified xsi:type="dcterms:W3CDTF">2023-11-09T04:54:56Z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8532BBF1190E47569B3B0252A72D0964_12</vt:lpwstr>
  </property>
</Properties>
</file>