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pPr w:leftFromText="180" w:rightFromText="180" w:vertAnchor="page" w:tblpY="1491"/>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4820"/>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top w:val="nil"/>
              <w:left w:val="nil"/>
              <w:right w:val="nil"/>
            </w:tcBorders>
            <w:shd w:val="clear" w:color="auto" w:fill="auto"/>
          </w:tcPr>
          <w:p>
            <w:pPr>
              <w:widowControl/>
              <w:jc w:val="center"/>
              <w:rPr>
                <w:rFonts w:ascii="黑体" w:hAnsi="黑体" w:eastAsia="黑体" w:cs="Times New Roman"/>
                <w:color w:val="000000"/>
                <w:kern w:val="0"/>
                <w:sz w:val="28"/>
                <w:szCs w:val="28"/>
              </w:rPr>
            </w:pPr>
            <w:r>
              <w:rPr>
                <w:rFonts w:hint="eastAsia" w:ascii="黑体" w:hAnsi="黑体" w:eastAsia="黑体" w:cs="Times New Roman"/>
                <w:color w:val="000000"/>
                <w:kern w:val="0"/>
                <w:sz w:val="28"/>
                <w:szCs w:val="28"/>
              </w:rPr>
              <w:t>初始审查主审委员评估表</w:t>
            </w: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项目受理号：</w:t>
            </w: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项目名称：</w:t>
            </w:r>
          </w:p>
          <w:p>
            <w:pPr>
              <w:widowControl/>
              <w:rPr>
                <w:rFonts w:cs="Times New Roman" w:asciiTheme="minorEastAsia" w:hAnsiTheme="minorEastAsia"/>
                <w:b/>
                <w:color w:val="000000"/>
                <w:kern w:val="0"/>
                <w:sz w:val="28"/>
                <w:szCs w:val="28"/>
              </w:rPr>
            </w:pPr>
            <w:r>
              <w:rPr>
                <w:rFonts w:hint="eastAsia" w:cs="Times New Roman" w:asciiTheme="minorEastAsia" w:hAnsiTheme="minorEastAsia"/>
                <w:color w:val="000000"/>
                <w:kern w:val="0"/>
                <w:sz w:val="18"/>
                <w:szCs w:val="18"/>
              </w:rPr>
              <w:t>主要研究者：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1. 试验方案的设计与实施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1.1 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试验符合公认的科学原理，基于文献以及充分的实验室研究和动物实验。</w:t>
            </w:r>
          </w:p>
        </w:tc>
        <w:tc>
          <w:tcPr>
            <w:tcW w:w="3260" w:type="dxa"/>
          </w:tcPr>
          <w:p>
            <w:pPr>
              <w:widowControl/>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bookmarkStart w:id="0" w:name="选中1"/>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bookmarkEnd w:id="0"/>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2"/>
                  <w:enabled/>
                  <w:calcOnExit w:val="0"/>
                  <w:checkBox>
                    <w:sizeAuto/>
                    <w:default w:val="0"/>
                    <w:checked w:val="0"/>
                  </w:checkBox>
                </w:ffData>
              </w:fldChar>
            </w:r>
            <w:bookmarkStart w:id="1" w:name="选中2"/>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bookmarkEnd w:id="1"/>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3"/>
                  <w:enabled/>
                  <w:calcOnExit w:val="0"/>
                  <w:checkBox>
                    <w:sizeAuto/>
                    <w:default w:val="0"/>
                    <w:checked w:val="0"/>
                  </w:checkBox>
                </w:ffData>
              </w:fldChar>
            </w:r>
            <w:bookmarkStart w:id="2" w:name="选中3"/>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bookmarkEnd w:id="2"/>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1.2</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与试验目的有关的试验设计和对照组设置的合理性。</w:t>
            </w:r>
          </w:p>
        </w:tc>
        <w:tc>
          <w:tcPr>
            <w:tcW w:w="3260" w:type="dxa"/>
          </w:tcPr>
          <w:p>
            <w:pPr>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1.3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受试者提前退出试验的标准，暂停或终止试验的标准。</w:t>
            </w:r>
          </w:p>
        </w:tc>
        <w:tc>
          <w:tcPr>
            <w:tcW w:w="3260" w:type="dxa"/>
          </w:tcPr>
          <w:p>
            <w:pPr>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1.4</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试验实施过程中的监查和稽查计划，包括必要时成立独立的数据与安全监察委员会。</w:t>
            </w:r>
          </w:p>
        </w:tc>
        <w:tc>
          <w:tcPr>
            <w:tcW w:w="3260" w:type="dxa"/>
          </w:tcPr>
          <w:p>
            <w:pPr>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1.5</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研究者的资格与经验、并有充分的时间开展临床试验，人员配备及设备条件等符合试验要求。</w:t>
            </w:r>
          </w:p>
        </w:tc>
        <w:tc>
          <w:tcPr>
            <w:tcW w:w="3260" w:type="dxa"/>
          </w:tcPr>
          <w:p>
            <w:pPr>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1.6</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临床试验结果报告和发表的方式。</w:t>
            </w:r>
          </w:p>
        </w:tc>
        <w:tc>
          <w:tcPr>
            <w:tcW w:w="3260" w:type="dxa"/>
            <w:tcBorders>
              <w:bottom w:val="single" w:color="auto" w:sz="4" w:space="0"/>
            </w:tcBorders>
          </w:tcPr>
          <w:p>
            <w:pPr>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single" w:color="auto" w:sz="4" w:space="0"/>
            </w:tcBorders>
          </w:tcPr>
          <w:p>
            <w:pPr>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rPr>
                <w:rFonts w:cs="Times New Roman" w:asciiTheme="minorEastAsia" w:hAnsiTheme="minorEastAsia"/>
                <w:color w:val="000000"/>
                <w:kern w:val="0"/>
                <w:sz w:val="18"/>
                <w:szCs w:val="18"/>
              </w:rPr>
            </w:pPr>
          </w:p>
          <w:p>
            <w:pPr>
              <w:rPr>
                <w:rFonts w:cs="Times New Roman" w:asciiTheme="minorEastAsia" w:hAnsiTheme="minorEastAsia"/>
                <w:color w:val="000000"/>
                <w:kern w:val="0"/>
                <w:sz w:val="18"/>
                <w:szCs w:val="18"/>
              </w:rPr>
            </w:pPr>
          </w:p>
          <w:p>
            <w:pPr>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2.试验的风险与受益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2.1</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试验风险的性质、程度与发生概率的评估。</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2.2 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风险在可能的范围内最小化。</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2.3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预期受益的评估：受试者的受益和社会的受益。</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2.4 </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风险与受益的合理性：①对受试者有直接受益前景的试验，预期受益与风险应至少与目前可获得的替代治疗的受益与风险相当。试验风险相对于受试者预期的受益而言必须是合理的；②对受试者没有直接受益前景的试验，风险相对于社会预期受益而言，必须是合理的。</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3.受试者的招募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3.1</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受试者的人群特征（包括性别、年龄、种族等）。</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3.2</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试验的受益和风险在目标疾病人群中公平和公正分配。</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3.3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拟采取的招募方式和方法。</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3.4</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向受试者或其代表告知有关试验信息的方式。</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3.5</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受试者的纳入与排除标准。</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tabs>
                <w:tab w:val="left" w:pos="3494"/>
              </w:tabs>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4.知情同意书告知的信息</w:t>
            </w:r>
            <w:r>
              <w:rPr>
                <w:rFonts w:cs="Times New Roman" w:asciiTheme="minorEastAsia" w:hAnsiTheme="minorEastAsia"/>
                <w:color w:val="000000"/>
                <w:kern w:val="0"/>
                <w:sz w:val="18"/>
                <w:szCs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4.1</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试验目的、应遵循的试验步骤（包括所有侵入性操作）、试验期限。</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4.2</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预期的受试者的风险和不便。</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预期的受益。当受试者没有直接受益时，应告知受试者。</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4.4 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受试者可获得的备选治疗，以及备选治疗重要的潜在风险和受益。</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4.5</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受试者参加试验是否获得报酬。</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4.6</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受试者参加试验是否需要承担费用。</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4.7 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能识别受试者身份的有关记录的保密程度，并说明必要时，试验项目申办者、伦理委员会、政府管理部门按规定可以查阅参加试验的受试者资料。</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4.8</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如发生与试验相关的损害时，受试者可以获得的治疗和相应的补偿。</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4.9 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说明参加试验是自愿的，可以拒绝参加或有权在试验的任何阶段随时退出试验而不会遭到歧视或报复，其医疗待遇与权益不会受到影响。</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4.10</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当存在有关试验和受试者权利的问题，以及发生试验相关伤害时，有联系人及联系方式。</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5.知情同意的过程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5.1</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知情同意应符合完全告知、充分理解、自主选择的原则。</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5.2</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知情同意的表述应通俗易懂，适合该受试者群体理解的水平。</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5.3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对如何获得知情同意有详细的描述，包括明确由谁负责获取知情同意，以及签署知情同意书的规定。</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5.4</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计划纳入不能表达知情同意者作为受试者时，理由充分正当，对如何获得知情同意或授权同意有详细说明。</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5.5</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在研究过程中听取并答复受试者或其代表的疑问和意见的规定。</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6.受试者的医疗和保护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6.1</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研究人员资格和经验与试验的要求相适应。</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6.2 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因试验目的而不给予标准治疗的理由。</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在试验过程中和试验结束后，为受试者提供的医疗保障。</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6.4</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为受试者提供适当的医疗监测、心理与社会支持。</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6.5</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受试者自愿退出试验时拟采取的措施。</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6.6</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延长使用、紧急使用或出于同情而提供试验用药的标准。</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6.7</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试验结束后，是否继续向受试者提供试验用药的说明。</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6.8</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受试者需要支付的费用说明。</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6.9</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提供受试者的补偿（包括现金、服务、和/或礼物）。</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6.10</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由于参加试验造成受试者的损害/残疾/死亡时提供的补偿或治疗。</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6.11</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保险和损害赔偿。</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7.隐私和保密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7.1 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可以查阅受试者个人信息（包括病历记录、生物学标本）人员的规定。</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7.2</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确保受试者个人信息保密和安全的措施。</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8.涉及弱势群体的试验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8.1</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唯有以该弱势人群作为受试者，试验才能很好地进行。</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8.2</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试验针对该弱势群体特有的疾病或健康问题。</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8.3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当试验对弱势群体受试者不提供直接受益可能，试验风险一般不得大于最小风险，除非伦理委员会同意风险程度可略有增加。</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8.4</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当受试者不能给予充分知情同意时，要获得其法定代理人的知情同意，如有可能还应同时获得受试者本人的同意。</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shd w:val="pct10" w:color="auto" w:fill="auto"/>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9.涉及特殊疾病人群、特定地区人群/族群的试验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9.1</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该试验对特殊疾病人群、特定地区人群/族群造成的影响。</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9.2 </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外界因素对个人知情同意的影响。</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9.3</w:t>
            </w:r>
          </w:p>
        </w:tc>
        <w:tc>
          <w:tcPr>
            <w:tcW w:w="4820" w:type="dxa"/>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试验过程中，计划向该人群进行咨询。</w:t>
            </w:r>
          </w:p>
        </w:tc>
        <w:tc>
          <w:tcPr>
            <w:tcW w:w="3260" w:type="dxa"/>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bottom w:val="sing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9.4</w:t>
            </w:r>
          </w:p>
        </w:tc>
        <w:tc>
          <w:tcPr>
            <w:tcW w:w="4820" w:type="dxa"/>
            <w:tcBorders>
              <w:bottom w:val="single" w:color="auto" w:sz="4" w:space="0"/>
            </w:tcBorders>
          </w:tcPr>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该试验有利于当地的发展，如加强当地的医疗保健服务，提升研究能力，以及应对公共卫生需求的能力。</w:t>
            </w:r>
          </w:p>
        </w:tc>
        <w:tc>
          <w:tcPr>
            <w:tcW w:w="3260" w:type="dxa"/>
            <w:tcBorders>
              <w:bottom w:val="single" w:color="auto" w:sz="4" w:space="0"/>
            </w:tcBorders>
          </w:tcPr>
          <w:p>
            <w:pPr>
              <w:widowControl/>
              <w:rPr>
                <w:rFonts w:cs="Times New Roman" w:asciiTheme="minorEastAsia" w:hAnsiTheme="minorEastAsia"/>
                <w:color w:val="000000"/>
                <w:kern w:val="0"/>
                <w:sz w:val="24"/>
                <w:szCs w:val="24"/>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不符合要求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55" w:type="dxa"/>
            <w:gridSpan w:val="3"/>
            <w:tcBorders>
              <w:bottom w:val="double" w:color="auto" w:sz="4" w:space="0"/>
            </w:tcBorders>
          </w:tcPr>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意见与建议</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9" w:hRule="atLeast"/>
        </w:trPr>
        <w:tc>
          <w:tcPr>
            <w:tcW w:w="8755" w:type="dxa"/>
            <w:gridSpan w:val="3"/>
            <w:tcBorders>
              <w:top w:val="double" w:color="auto" w:sz="4" w:space="0"/>
            </w:tcBorders>
          </w:tcPr>
          <w:p>
            <w:pPr>
              <w:widowControl/>
              <w:jc w:val="center"/>
              <w:rPr>
                <w:rFonts w:cs="Times New Roman" w:asciiTheme="minorEastAsia" w:hAnsiTheme="minorEastAsia"/>
                <w:color w:val="000000"/>
                <w:kern w:val="0"/>
                <w:sz w:val="22"/>
                <w:szCs w:val="18"/>
              </w:rPr>
            </w:pPr>
            <w:r>
              <w:rPr>
                <w:rFonts w:hint="eastAsia" w:cs="Times New Roman" w:asciiTheme="minorEastAsia" w:hAnsiTheme="minorEastAsia"/>
                <w:color w:val="000000"/>
                <w:kern w:val="0"/>
                <w:sz w:val="22"/>
                <w:szCs w:val="18"/>
              </w:rPr>
              <w:t>主审委员意见</w:t>
            </w: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方案：</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知情同意书</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其他：</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主审委员决定：</w:t>
            </w:r>
          </w:p>
          <w:p>
            <w:pPr>
              <w:widowControl/>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同意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修改后同意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不同意</w:t>
            </w: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持续审查频率建议：</w:t>
            </w:r>
          </w:p>
          <w:p>
            <w:pPr>
              <w:widowControl/>
              <w:rPr>
                <w:rFonts w:cs="Times New Roman" w:asciiTheme="minorEastAsia" w:hAnsiTheme="minorEastAsia"/>
                <w:color w:val="000000"/>
                <w:kern w:val="0"/>
                <w:sz w:val="18"/>
                <w:szCs w:val="18"/>
              </w:rPr>
            </w:pPr>
            <w:r>
              <w:rPr>
                <w:rFonts w:cs="Times New Roman" w:asciiTheme="minorEastAsia" w:hAnsiTheme="minorEastAsia"/>
                <w:color w:val="000000"/>
                <w:kern w:val="0"/>
                <w:sz w:val="15"/>
                <w:szCs w:val="18"/>
              </w:rPr>
              <w:fldChar w:fldCharType="begin">
                <w:ffData>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3个月  </w:t>
            </w:r>
            <w:r>
              <w:rPr>
                <w:rFonts w:cs="Times New Roman" w:asciiTheme="minorEastAsia" w:hAnsiTheme="minorEastAsia"/>
                <w:color w:val="000000"/>
                <w:kern w:val="0"/>
                <w:sz w:val="15"/>
                <w:szCs w:val="18"/>
              </w:rPr>
              <w:fldChar w:fldCharType="begin">
                <w:ffData>
                  <w:name w:val="选中1"/>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 xml:space="preserve">6个月  </w:t>
            </w:r>
            <w:r>
              <w:rPr>
                <w:rFonts w:cs="Times New Roman" w:asciiTheme="minorEastAsia" w:hAnsiTheme="minorEastAsia"/>
                <w:color w:val="000000"/>
                <w:kern w:val="0"/>
                <w:sz w:val="15"/>
                <w:szCs w:val="18"/>
              </w:rPr>
              <w:fldChar w:fldCharType="begin">
                <w:ffData>
                  <w:enabled/>
                  <w:calcOnExit w:val="0"/>
                  <w:checkBox>
                    <w:sizeAuto/>
                    <w:default w:val="0"/>
                    <w:checked w:val="0"/>
                  </w:checkBox>
                </w:ffData>
              </w:fldChar>
            </w:r>
            <w:r>
              <w:rPr>
                <w:rFonts w:cs="Times New Roman" w:asciiTheme="minorEastAsia" w:hAnsiTheme="minorEastAsia"/>
                <w:color w:val="000000"/>
                <w:kern w:val="0"/>
                <w:sz w:val="15"/>
                <w:szCs w:val="18"/>
              </w:rPr>
              <w:instrText xml:space="preserve"> </w:instrText>
            </w:r>
            <w:r>
              <w:rPr>
                <w:rFonts w:hint="eastAsia" w:cs="Times New Roman" w:asciiTheme="minorEastAsia" w:hAnsiTheme="minorEastAsia"/>
                <w:color w:val="000000"/>
                <w:kern w:val="0"/>
                <w:sz w:val="15"/>
                <w:szCs w:val="18"/>
              </w:rPr>
              <w:instrText xml:space="preserve">FORMCHECKBOX</w:instrText>
            </w:r>
            <w:r>
              <w:rPr>
                <w:rFonts w:cs="Times New Roman" w:asciiTheme="minorEastAsia" w:hAnsiTheme="minorEastAsia"/>
                <w:color w:val="000000"/>
                <w:kern w:val="0"/>
                <w:sz w:val="15"/>
                <w:szCs w:val="18"/>
              </w:rPr>
              <w:instrText xml:space="preserve"> </w:instrText>
            </w:r>
            <w:r>
              <w:rPr>
                <w:rFonts w:cs="Times New Roman" w:asciiTheme="minorEastAsia" w:hAnsiTheme="minorEastAsia"/>
                <w:color w:val="000000"/>
                <w:kern w:val="0"/>
                <w:sz w:val="15"/>
                <w:szCs w:val="18"/>
              </w:rPr>
              <w:fldChar w:fldCharType="separate"/>
            </w:r>
            <w:r>
              <w:rPr>
                <w:rFonts w:cs="Times New Roman" w:asciiTheme="minorEastAsia" w:hAnsiTheme="minorEastAsia"/>
                <w:color w:val="000000"/>
                <w:kern w:val="0"/>
                <w:sz w:val="15"/>
                <w:szCs w:val="18"/>
              </w:rPr>
              <w:fldChar w:fldCharType="end"/>
            </w:r>
            <w:r>
              <w:rPr>
                <w:rFonts w:hint="eastAsia" w:cs="Times New Roman" w:asciiTheme="minorEastAsia" w:hAnsiTheme="minorEastAsia"/>
                <w:color w:val="000000"/>
                <w:kern w:val="0"/>
                <w:sz w:val="18"/>
                <w:szCs w:val="18"/>
              </w:rPr>
              <w:t>12个月  □其他__________</w:t>
            </w: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p>
          <w:p>
            <w:pPr>
              <w:widowControl/>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主审委员签字：                  日期：</w:t>
            </w:r>
          </w:p>
        </w:tc>
      </w:tr>
    </w:tbl>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本评估表依据CFDA颁布的《药物临床试验伦理审查工作指导原则》制定</w:t>
      </w:r>
    </w:p>
    <w:p>
      <w:pPr>
        <w:widowControl/>
        <w:shd w:val="clear" w:color="auto" w:fill="FFFFFF"/>
        <w:rPr>
          <w:rFonts w:cs="Times New Roman" w:asciiTheme="minorEastAsia" w:hAnsiTheme="minorEastAsia"/>
          <w:color w:val="000000"/>
          <w:kern w:val="0"/>
          <w:sz w:val="18"/>
          <w:szCs w:val="18"/>
        </w:rPr>
      </w:pPr>
      <w:r>
        <w:rPr>
          <w:rFonts w:hint="eastAsia" w:cs="Times New Roman" w:asciiTheme="minorEastAsia" w:hAnsiTheme="minorEastAsia"/>
          <w:color w:val="000000"/>
          <w:kern w:val="0"/>
          <w:sz w:val="18"/>
          <w:szCs w:val="18"/>
        </w:rPr>
        <w:t>方框选中方法：双击灰色方框，选择默认值为“选中”即可。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891924"/>
      <w:docPartObj>
        <w:docPartGallery w:val="AutoText"/>
      </w:docPartObj>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rFonts w:hint="eastAsia" w:eastAsiaTheme="minorEastAsia"/>
        <w:lang w:eastAsia="zh-CN"/>
      </w:rPr>
    </w:pPr>
    <w:r>
      <w:rPr>
        <w:rFonts w:hint="eastAsia"/>
        <w:kern w:val="0"/>
      </w:rPr>
      <w:t>甘肃省妇幼保健院</w:t>
    </w:r>
    <w:r>
      <w:rPr>
        <w:kern w:val="0"/>
      </w:rPr>
      <w:t>(</w:t>
    </w:r>
    <w:r>
      <w:rPr>
        <w:rFonts w:hint="eastAsia"/>
        <w:kern w:val="0"/>
      </w:rPr>
      <w:t>甘肃省中心医院</w:t>
    </w:r>
    <w:r>
      <w:rPr>
        <w:kern w:val="0"/>
      </w:rPr>
      <w:t>)</w:t>
    </w:r>
    <w:r>
      <w:rPr>
        <w:rFonts w:hint="eastAsia"/>
        <w:kern w:val="0"/>
      </w:rPr>
      <w:t>药物</w:t>
    </w:r>
    <w:r>
      <w:rPr>
        <w:kern w:val="0"/>
      </w:rPr>
      <w:t>/</w:t>
    </w:r>
    <w:r>
      <w:rPr>
        <w:rFonts w:hint="eastAsia"/>
        <w:kern w:val="0"/>
      </w:rPr>
      <w:t>器械临床试验伦理委员会</w:t>
    </w:r>
    <w:r>
      <w:rPr>
        <w:kern w:val="0"/>
      </w:rPr>
      <w:t xml:space="preserve">  </w:t>
    </w:r>
    <w:r>
      <w:rPr>
        <w:rFonts w:hint="eastAsia"/>
      </w:rPr>
      <w:t xml:space="preserve">   </w:t>
    </w:r>
    <w:r>
      <w:t xml:space="preserve">  </w:t>
    </w:r>
    <w:r>
      <w:rPr>
        <w:rFonts w:hint="eastAsia"/>
      </w:rPr>
      <w:t xml:space="preserve">               AF/SG-01/02.</w:t>
    </w:r>
    <w:r>
      <w:rPr>
        <w:rFonts w:hint="eastAsia"/>
        <w:lang w:val="en-US" w:eastAsia="zh-CN"/>
      </w:rPr>
      <w:t>2</w:t>
    </w:r>
    <w:bookmarkStart w:id="3" w:name="_GoBack"/>
    <w:bookmarkEnd w:id="3"/>
  </w:p>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832EB0"/>
    <w:rsid w:val="00032530"/>
    <w:rsid w:val="000E3167"/>
    <w:rsid w:val="00151114"/>
    <w:rsid w:val="00175076"/>
    <w:rsid w:val="001D02FC"/>
    <w:rsid w:val="00334FD5"/>
    <w:rsid w:val="004F32DA"/>
    <w:rsid w:val="0057605C"/>
    <w:rsid w:val="005F788F"/>
    <w:rsid w:val="006A6347"/>
    <w:rsid w:val="00744345"/>
    <w:rsid w:val="00795C71"/>
    <w:rsid w:val="00807FF2"/>
    <w:rsid w:val="00832EB0"/>
    <w:rsid w:val="008B1B41"/>
    <w:rsid w:val="0093280D"/>
    <w:rsid w:val="009358D6"/>
    <w:rsid w:val="009B3F9D"/>
    <w:rsid w:val="00AF3472"/>
    <w:rsid w:val="00B4228F"/>
    <w:rsid w:val="00BF2EC7"/>
    <w:rsid w:val="00C54B12"/>
    <w:rsid w:val="00D64E0D"/>
    <w:rsid w:val="00D73908"/>
    <w:rsid w:val="00DC601D"/>
    <w:rsid w:val="00E36BE4"/>
    <w:rsid w:val="00EB05E1"/>
    <w:rsid w:val="00EE64BC"/>
    <w:rsid w:val="00EF0AF2"/>
    <w:rsid w:val="00F350B1"/>
    <w:rsid w:val="00F73102"/>
    <w:rsid w:val="00F740C4"/>
    <w:rsid w:val="00FE1AED"/>
    <w:rsid w:val="630E7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apple-converted-space"/>
    <w:basedOn w:val="7"/>
    <w:qFormat/>
    <w:uiPriority w:val="0"/>
  </w:style>
  <w:style w:type="character" w:customStyle="1" w:styleId="9">
    <w:name w:val="页眉 Char"/>
    <w:basedOn w:val="7"/>
    <w:link w:val="4"/>
    <w:qFormat/>
    <w:uiPriority w:val="99"/>
    <w:rPr>
      <w:sz w:val="18"/>
      <w:szCs w:val="18"/>
    </w:rPr>
  </w:style>
  <w:style w:type="character" w:customStyle="1" w:styleId="10">
    <w:name w:val="页脚 Char"/>
    <w:basedOn w:val="7"/>
    <w:link w:val="3"/>
    <w:uiPriority w:val="99"/>
    <w:rPr>
      <w:sz w:val="18"/>
      <w:szCs w:val="18"/>
    </w:rPr>
  </w:style>
  <w:style w:type="character" w:customStyle="1" w:styleId="11">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871</Words>
  <Characters>4965</Characters>
  <Lines>41</Lines>
  <Paragraphs>11</Paragraphs>
  <TotalTime>85</TotalTime>
  <ScaleCrop>false</ScaleCrop>
  <LinksUpToDate>false</LinksUpToDate>
  <CharactersWithSpaces>5825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2014-01-22T07:48:00Z</dcterms:created>
  <dc:creator>张明文</dc:creator>
  <cp:lastModifiedBy>王者之剑</cp:lastModifiedBy>
  <cp:lastPrinted>2016-11-18T01:43:00Z</cp:lastPrinted>
  <dcterms:modified xsi:type="dcterms:W3CDTF">2023-11-09T04:48:09Z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C561A5FE2A04472DA36C08038A8E4C83_12</vt:lpwstr>
  </property>
</Properties>
</file>